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6D" w:rsidRDefault="00A1356D" w:rsidP="00A1356D">
      <w:pPr>
        <w:shd w:val="clear" w:color="auto" w:fill="FFFFFF"/>
        <w:spacing w:before="120" w:after="120" w:line="234" w:lineRule="atLeast"/>
        <w:ind w:firstLine="567"/>
        <w:jc w:val="center"/>
        <w:rPr>
          <w:rFonts w:ascii="Times New Roman" w:eastAsia="Times New Roman" w:hAnsi="Times New Roman" w:cs="Times New Roman"/>
          <w:b/>
          <w:bCs/>
          <w:color w:val="000000"/>
          <w:sz w:val="28"/>
          <w:szCs w:val="28"/>
          <w:lang w:eastAsia="en-AU"/>
        </w:rPr>
      </w:pPr>
      <w:r w:rsidRPr="00A1356D">
        <w:rPr>
          <w:rFonts w:ascii="Times New Roman" w:eastAsia="Times New Roman" w:hAnsi="Times New Roman" w:cs="Times New Roman"/>
          <w:b/>
          <w:bCs/>
          <w:color w:val="000000"/>
          <w:sz w:val="28"/>
          <w:szCs w:val="28"/>
          <w:lang w:val="vi-VN" w:eastAsia="en-AU"/>
        </w:rPr>
        <w:t>THỦ TỤC ĐỐI CHIẾU, XÁC NHẬN S</w:t>
      </w:r>
      <w:r w:rsidRPr="00A1356D">
        <w:rPr>
          <w:rFonts w:ascii="Times New Roman" w:eastAsia="Times New Roman" w:hAnsi="Times New Roman" w:cs="Times New Roman"/>
          <w:b/>
          <w:bCs/>
          <w:color w:val="000000"/>
          <w:sz w:val="28"/>
          <w:szCs w:val="28"/>
          <w:lang w:eastAsia="en-AU"/>
        </w:rPr>
        <w:t>Ố</w:t>
      </w:r>
      <w:r w:rsidRPr="00A1356D">
        <w:rPr>
          <w:rFonts w:ascii="Times New Roman" w:eastAsia="Times New Roman" w:hAnsi="Times New Roman" w:cs="Times New Roman"/>
          <w:b/>
          <w:bCs/>
          <w:color w:val="000000"/>
          <w:sz w:val="28"/>
          <w:szCs w:val="28"/>
          <w:lang w:val="vi-VN" w:eastAsia="en-AU"/>
        </w:rPr>
        <w:t> DƯ TÀI KHOẢN CỦA</w:t>
      </w:r>
    </w:p>
    <w:p w:rsidR="00D136FA" w:rsidRPr="00E42D3F" w:rsidRDefault="00A1356D" w:rsidP="00A1356D">
      <w:pPr>
        <w:shd w:val="clear" w:color="auto" w:fill="FFFFFF"/>
        <w:spacing w:before="120" w:after="120" w:line="234" w:lineRule="atLeast"/>
        <w:ind w:firstLine="567"/>
        <w:jc w:val="center"/>
        <w:rPr>
          <w:rFonts w:ascii="Times New Roman" w:eastAsia="Times New Roman" w:hAnsi="Times New Roman" w:cs="Times New Roman"/>
          <w:color w:val="000000"/>
          <w:sz w:val="28"/>
          <w:szCs w:val="28"/>
          <w:lang w:eastAsia="en-AU"/>
        </w:rPr>
      </w:pPr>
      <w:r w:rsidRPr="00A1356D">
        <w:rPr>
          <w:rFonts w:ascii="Times New Roman" w:eastAsia="Times New Roman" w:hAnsi="Times New Roman" w:cs="Times New Roman"/>
          <w:b/>
          <w:bCs/>
          <w:color w:val="000000"/>
          <w:sz w:val="28"/>
          <w:szCs w:val="28"/>
          <w:lang w:val="vi-VN" w:eastAsia="en-AU"/>
        </w:rPr>
        <w:t xml:space="preserve"> ĐƠN VỊ GIAO DỊCH TẠI KHO BẠC NHÀ NƯỚC</w:t>
      </w:r>
    </w:p>
    <w:p w:rsidR="00A1356D" w:rsidRDefault="00A1356D"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A1356D">
        <w:rPr>
          <w:rFonts w:ascii="Times New Roman" w:eastAsia="Times New Roman" w:hAnsi="Times New Roman" w:cs="Times New Roman"/>
          <w:b/>
          <w:color w:val="000000"/>
          <w:sz w:val="28"/>
          <w:szCs w:val="28"/>
          <w:lang w:val="vi-VN" w:eastAsia="en-AU"/>
        </w:rPr>
        <w:t>1. Tên thủ tục hành chính: Thủ tục đối chiếu, xác nhận số dư tài khoản của đơn vị giao dịch tại Kho bạc Nhà nước.</w:t>
      </w: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A1356D">
        <w:rPr>
          <w:rFonts w:ascii="Times New Roman" w:eastAsia="Times New Roman" w:hAnsi="Times New Roman" w:cs="Times New Roman"/>
          <w:b/>
          <w:color w:val="000000"/>
          <w:sz w:val="28"/>
          <w:szCs w:val="28"/>
          <w:lang w:val="vi-VN" w:eastAsia="en-AU"/>
        </w:rPr>
        <w:t>2. Cách thức thực hiện:</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Gửi hồ sơ và nhận kết quả trực tiếp tại trụ sở Kho bạc Nhà nước.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Gửi hồ sơ và nhận kết quả qua Trang thông tin dịch vụ công của Kho bạc Nhà nước trong trường hợp đơn vị có tham gia giao dịch điện tử với Kho bạc Nhà nước (đơn vị truy cập và thực hiện theo hướng dẫn trên Trang thông tin dịch vụ công của Kho bạc Nhà nước).</w:t>
      </w: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A1356D">
        <w:rPr>
          <w:rFonts w:ascii="Times New Roman" w:eastAsia="Times New Roman" w:hAnsi="Times New Roman" w:cs="Times New Roman"/>
          <w:b/>
          <w:color w:val="000000"/>
          <w:sz w:val="28"/>
          <w:szCs w:val="28"/>
          <w:lang w:val="vi-VN" w:eastAsia="en-AU"/>
        </w:rPr>
        <w:t>3. Trình tự thực hiện:</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Đơn vị giao dịch có mở tài khoản tại Kho bạc Nhà nước lập và gửi đề nghị xác nhận số dư tài khoản tới Kho bạc Nhà nước nơi giao dịch.</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Kho bạc Nhà nước thực hiện kiểm tra, đối chiếu số liệu và xử lý:</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hợp khớp đúng, Kho bạc Nhà nước thực hiện xác nhận số dư tài khoản cho đơn vị giao dịch; trường hợp không khớp đúng, Kho bạc Nhà nước thông báo cho đơn vị giao dịch và phối hợp rà soát lại số liệu.</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hợp đơn vị giao dịch lập và gửi đề nghị xác nhận số dư tài khoản qua Trang thông tin dịch vụ công của Kho bạc Nhà nước, Kho bạc Nhà nước gửi thông báo xác nhận khớp đúng (hoặc chưa khớp đúng) qua Trang thông tin dịch vụ công của Kho bạc Nhà nước.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Sau 01 ngày làm việc kể từ ngày nhận được thông báo của Kho bạc Nhà nước về việc số liệu đối chiếu chưa kh</w:t>
      </w:r>
      <w:r w:rsidRPr="00E42D3F">
        <w:rPr>
          <w:rFonts w:ascii="Times New Roman" w:eastAsia="Times New Roman" w:hAnsi="Times New Roman" w:cs="Times New Roman"/>
          <w:color w:val="000000"/>
          <w:sz w:val="28"/>
          <w:szCs w:val="28"/>
          <w:lang w:eastAsia="en-AU"/>
        </w:rPr>
        <w:t>ớ</w:t>
      </w:r>
      <w:r w:rsidRPr="00E42D3F">
        <w:rPr>
          <w:rFonts w:ascii="Times New Roman" w:eastAsia="Times New Roman" w:hAnsi="Times New Roman" w:cs="Times New Roman"/>
          <w:color w:val="000000"/>
          <w:sz w:val="28"/>
          <w:szCs w:val="28"/>
          <w:lang w:val="vi-VN" w:eastAsia="en-AU"/>
        </w:rPr>
        <w:t>p đúng, đơn vị giao dịch tiếp tục làm thủ tục đối chiếu, xác nhận số dư tài khoản của đơn vị trực tiếp tại trụ sở Kho bạc Nhà nước hoặc qua Trang thông tin dịch vụ công của Kho bạc Nhà nước.</w:t>
      </w: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A1356D">
        <w:rPr>
          <w:rFonts w:ascii="Times New Roman" w:eastAsia="Times New Roman" w:hAnsi="Times New Roman" w:cs="Times New Roman"/>
          <w:b/>
          <w:color w:val="000000"/>
          <w:sz w:val="28"/>
          <w:szCs w:val="28"/>
          <w:lang w:val="vi-VN" w:eastAsia="en-AU"/>
        </w:rPr>
        <w:t>4. Thành phần và số lượng hồ sơ:</w:t>
      </w: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eastAsia="en-AU"/>
        </w:rPr>
      </w:pPr>
      <w:r w:rsidRPr="00A1356D">
        <w:rPr>
          <w:rFonts w:ascii="Times New Roman" w:eastAsia="Times New Roman" w:hAnsi="Times New Roman" w:cs="Times New Roman"/>
          <w:i/>
          <w:color w:val="000000"/>
          <w:sz w:val="28"/>
          <w:szCs w:val="28"/>
          <w:lang w:val="vi-VN" w:eastAsia="en-AU"/>
        </w:rPr>
        <w:t>a) Thành phần hồ sơ:</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đối chiếu xác nhận số dư tài khoản dự toán: Bảng đối chiếu dự toán và tình hình sử dụng kinh phí ngân sách nhà nước tại Kho bạc Nhà nước.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đối chiếu xác nhận số dư tài khoản tiền gửi: Bảng xác nhận số dư tài khoản tiền gửi tại Kho bạc Nhà nước.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A1356D">
        <w:rPr>
          <w:rFonts w:ascii="Times New Roman" w:eastAsia="Times New Roman" w:hAnsi="Times New Roman" w:cs="Times New Roman"/>
          <w:i/>
          <w:color w:val="000000"/>
          <w:sz w:val="28"/>
          <w:szCs w:val="28"/>
          <w:lang w:val="vi-VN" w:eastAsia="en-AU"/>
        </w:rPr>
        <w:t>b) Số lượng hồ sơ:</w:t>
      </w:r>
      <w:r w:rsidRPr="00E42D3F">
        <w:rPr>
          <w:rFonts w:ascii="Times New Roman" w:eastAsia="Times New Roman" w:hAnsi="Times New Roman" w:cs="Times New Roman"/>
          <w:color w:val="000000"/>
          <w:sz w:val="28"/>
          <w:szCs w:val="28"/>
          <w:lang w:val="vi-VN" w:eastAsia="en-AU"/>
        </w:rPr>
        <w:t xml:space="preserve"> Số lượng của từng thành phần hồ sơ quy định tại điểm a khoản 4 Điều này là 02 bản gốc.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A1356D">
        <w:rPr>
          <w:rFonts w:ascii="Times New Roman" w:eastAsia="Times New Roman" w:hAnsi="Times New Roman" w:cs="Times New Roman"/>
          <w:b/>
          <w:color w:val="000000"/>
          <w:sz w:val="28"/>
          <w:szCs w:val="28"/>
          <w:lang w:val="vi-VN" w:eastAsia="en-AU"/>
        </w:rPr>
        <w:t>5. Thời hạn giải quyết:</w:t>
      </w:r>
      <w:r w:rsidRPr="00E42D3F">
        <w:rPr>
          <w:rFonts w:ascii="Times New Roman" w:eastAsia="Times New Roman" w:hAnsi="Times New Roman" w:cs="Times New Roman"/>
          <w:color w:val="000000"/>
          <w:sz w:val="28"/>
          <w:szCs w:val="28"/>
          <w:lang w:val="vi-VN" w:eastAsia="en-AU"/>
        </w:rPr>
        <w:t xml:space="preserve"> Trong vòng 01 ngày làm việc, kể từ khi Kho bạc Nhà nước nhận được h</w:t>
      </w:r>
      <w:r w:rsidRPr="00E42D3F">
        <w:rPr>
          <w:rFonts w:ascii="Times New Roman" w:eastAsia="Times New Roman" w:hAnsi="Times New Roman" w:cs="Times New Roman"/>
          <w:color w:val="000000"/>
          <w:sz w:val="28"/>
          <w:szCs w:val="28"/>
          <w:lang w:eastAsia="en-AU"/>
        </w:rPr>
        <w:t>ồ</w:t>
      </w:r>
      <w:r w:rsidRPr="00E42D3F">
        <w:rPr>
          <w:rFonts w:ascii="Times New Roman" w:eastAsia="Times New Roman" w:hAnsi="Times New Roman" w:cs="Times New Roman"/>
          <w:color w:val="000000"/>
          <w:sz w:val="28"/>
          <w:szCs w:val="28"/>
          <w:lang w:val="vi-VN" w:eastAsia="en-AU"/>
        </w:rPr>
        <w:t> sơ đ</w:t>
      </w:r>
      <w:r w:rsidRPr="00E42D3F">
        <w:rPr>
          <w:rFonts w:ascii="Times New Roman" w:eastAsia="Times New Roman" w:hAnsi="Times New Roman" w:cs="Times New Roman"/>
          <w:color w:val="000000"/>
          <w:sz w:val="28"/>
          <w:szCs w:val="28"/>
          <w:lang w:eastAsia="en-AU"/>
        </w:rPr>
        <w:t>ầ</w:t>
      </w:r>
      <w:r w:rsidRPr="00E42D3F">
        <w:rPr>
          <w:rFonts w:ascii="Times New Roman" w:eastAsia="Times New Roman" w:hAnsi="Times New Roman" w:cs="Times New Roman"/>
          <w:color w:val="000000"/>
          <w:sz w:val="28"/>
          <w:szCs w:val="28"/>
          <w:lang w:val="vi-VN" w:eastAsia="en-AU"/>
        </w:rPr>
        <w:t>y đủ,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lệ của đơn vị giao dịch.</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A1356D">
        <w:rPr>
          <w:rFonts w:ascii="Times New Roman" w:eastAsia="Times New Roman" w:hAnsi="Times New Roman" w:cs="Times New Roman"/>
          <w:b/>
          <w:color w:val="000000"/>
          <w:sz w:val="28"/>
          <w:szCs w:val="28"/>
          <w:lang w:val="vi-VN" w:eastAsia="en-AU"/>
        </w:rPr>
        <w:lastRenderedPageBreak/>
        <w:t>6. Đối tượng thực hiện:</w:t>
      </w:r>
      <w:r w:rsidRPr="00E42D3F">
        <w:rPr>
          <w:rFonts w:ascii="Times New Roman" w:eastAsia="Times New Roman" w:hAnsi="Times New Roman" w:cs="Times New Roman"/>
          <w:color w:val="000000"/>
          <w:sz w:val="28"/>
          <w:szCs w:val="28"/>
          <w:lang w:val="vi-VN" w:eastAsia="en-AU"/>
        </w:rPr>
        <w:t xml:space="preserve"> Các đơn vị giao dịch có mở tài khoản tại Kho bạc Nhà nước.</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7</w:t>
      </w:r>
      <w:r w:rsidRPr="00A1356D">
        <w:rPr>
          <w:rFonts w:ascii="Times New Roman" w:eastAsia="Times New Roman" w:hAnsi="Times New Roman" w:cs="Times New Roman"/>
          <w:b/>
          <w:color w:val="000000"/>
          <w:sz w:val="28"/>
          <w:szCs w:val="28"/>
          <w:lang w:val="vi-VN" w:eastAsia="en-AU"/>
        </w:rPr>
        <w:t xml:space="preserve">. Cơ quan giải quyết: </w:t>
      </w:r>
      <w:r w:rsidRPr="00E42D3F">
        <w:rPr>
          <w:rFonts w:ascii="Times New Roman" w:eastAsia="Times New Roman" w:hAnsi="Times New Roman" w:cs="Times New Roman"/>
          <w:color w:val="000000"/>
          <w:sz w:val="28"/>
          <w:szCs w:val="28"/>
          <w:lang w:val="vi-VN" w:eastAsia="en-AU"/>
        </w:rPr>
        <w:t>Kho bạc Nhà nước.</w:t>
      </w:r>
    </w:p>
    <w:p w:rsidR="00D136FA" w:rsidRPr="00A1356D" w:rsidRDefault="00D136FA" w:rsidP="00D136FA">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A1356D">
        <w:rPr>
          <w:rFonts w:ascii="Times New Roman" w:eastAsia="Times New Roman" w:hAnsi="Times New Roman" w:cs="Times New Roman"/>
          <w:b/>
          <w:color w:val="000000"/>
          <w:sz w:val="28"/>
          <w:szCs w:val="28"/>
          <w:lang w:val="vi-VN" w:eastAsia="en-AU"/>
        </w:rPr>
        <w:t>8. Kết quả thực hiện:</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gửi đề nghị xác nhận số dư tài khoản bằng văn bản giấy: Xác nhận của Kho bạc Nhà nước khớp đúng (hoặc chưa kh</w:t>
      </w:r>
      <w:r w:rsidRPr="00E42D3F">
        <w:rPr>
          <w:rFonts w:ascii="Times New Roman" w:eastAsia="Times New Roman" w:hAnsi="Times New Roman" w:cs="Times New Roman"/>
          <w:color w:val="000000"/>
          <w:sz w:val="28"/>
          <w:szCs w:val="28"/>
          <w:lang w:eastAsia="en-AU"/>
        </w:rPr>
        <w:t>ớ</w:t>
      </w:r>
      <w:r w:rsidRPr="00E42D3F">
        <w:rPr>
          <w:rFonts w:ascii="Times New Roman" w:eastAsia="Times New Roman" w:hAnsi="Times New Roman" w:cs="Times New Roman"/>
          <w:color w:val="000000"/>
          <w:sz w:val="28"/>
          <w:szCs w:val="28"/>
          <w:lang w:val="vi-VN" w:eastAsia="en-AU"/>
        </w:rPr>
        <w:t>p đúng) trên bản đề nghị xác nhận số dư tài khoản của đơn vị giao dịch.</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Trường hợp gửi đề nghị xác nhận số dư tài khoản qua Trang thông tin dịch vụ công của Kho bạc Nhà nước: Thông báo của Kho bạc Nhà nước khớp đúng (hoặc chưa khớp đúng) với số liệu tại đơn vị giao dịch.</w:t>
      </w:r>
    </w:p>
    <w:p w:rsidR="00D136FA" w:rsidRPr="00E42D3F" w:rsidRDefault="00D136FA" w:rsidP="00D136F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A1356D">
        <w:rPr>
          <w:rFonts w:ascii="Times New Roman" w:eastAsia="Times New Roman" w:hAnsi="Times New Roman" w:cs="Times New Roman"/>
          <w:b/>
          <w:color w:val="000000"/>
          <w:sz w:val="28"/>
          <w:szCs w:val="28"/>
          <w:lang w:val="vi-VN" w:eastAsia="en-AU"/>
        </w:rPr>
        <w:t>9. M</w:t>
      </w:r>
      <w:r w:rsidRPr="00A1356D">
        <w:rPr>
          <w:rFonts w:ascii="Times New Roman" w:eastAsia="Times New Roman" w:hAnsi="Times New Roman" w:cs="Times New Roman"/>
          <w:b/>
          <w:color w:val="000000"/>
          <w:sz w:val="28"/>
          <w:szCs w:val="28"/>
          <w:lang w:eastAsia="en-AU"/>
        </w:rPr>
        <w:t>ẫ</w:t>
      </w:r>
      <w:r w:rsidRPr="00A1356D">
        <w:rPr>
          <w:rFonts w:ascii="Times New Roman" w:eastAsia="Times New Roman" w:hAnsi="Times New Roman" w:cs="Times New Roman"/>
          <w:b/>
          <w:color w:val="000000"/>
          <w:sz w:val="28"/>
          <w:szCs w:val="28"/>
          <w:lang w:val="vi-VN" w:eastAsia="en-AU"/>
        </w:rPr>
        <w:t>u tờ khai</w:t>
      </w:r>
      <w:r w:rsidRPr="00E42D3F">
        <w:rPr>
          <w:rFonts w:ascii="Times New Roman" w:eastAsia="Times New Roman" w:hAnsi="Times New Roman" w:cs="Times New Roman"/>
          <w:color w:val="000000"/>
          <w:sz w:val="28"/>
          <w:szCs w:val="28"/>
          <w:lang w:val="vi-VN" w:eastAsia="en-AU"/>
        </w:rPr>
        <w:t>: Bảng đối chiếu dự toán và tình hình sử dụng kinh phí ngân sách nhà nước tại Kho bạc Nhà nước; bảng xác nhận số dư tài khoản tiền gửi tại Kho bạc Nhà nước thực hiện theo quy định tại khoả</w:t>
      </w:r>
      <w:bookmarkStart w:id="0" w:name="_GoBack"/>
      <w:bookmarkEnd w:id="0"/>
      <w:r w:rsidRPr="00E42D3F">
        <w:rPr>
          <w:rFonts w:ascii="Times New Roman" w:eastAsia="Times New Roman" w:hAnsi="Times New Roman" w:cs="Times New Roman"/>
          <w:color w:val="000000"/>
          <w:sz w:val="28"/>
          <w:szCs w:val="28"/>
          <w:lang w:val="vi-VN" w:eastAsia="en-AU"/>
        </w:rPr>
        <w:t>n 9 Điều 13 Nghị định này.</w:t>
      </w:r>
    </w:p>
    <w:p w:rsidR="00757D5D" w:rsidRDefault="00757D5D"/>
    <w:sectPr w:rsidR="00757D5D" w:rsidSect="00A1356D">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83" w:rsidRDefault="00B20F83" w:rsidP="00A1356D">
      <w:pPr>
        <w:spacing w:after="0" w:line="240" w:lineRule="auto"/>
      </w:pPr>
      <w:r>
        <w:separator/>
      </w:r>
    </w:p>
  </w:endnote>
  <w:endnote w:type="continuationSeparator" w:id="0">
    <w:p w:rsidR="00B20F83" w:rsidRDefault="00B20F83" w:rsidP="00A1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83" w:rsidRDefault="00B20F83" w:rsidP="00A1356D">
      <w:pPr>
        <w:spacing w:after="0" w:line="240" w:lineRule="auto"/>
      </w:pPr>
      <w:r>
        <w:separator/>
      </w:r>
    </w:p>
  </w:footnote>
  <w:footnote w:type="continuationSeparator" w:id="0">
    <w:p w:rsidR="00B20F83" w:rsidRDefault="00B20F83" w:rsidP="00A1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33016"/>
      <w:docPartObj>
        <w:docPartGallery w:val="Page Numbers (Top of Page)"/>
        <w:docPartUnique/>
      </w:docPartObj>
    </w:sdtPr>
    <w:sdtEndPr>
      <w:rPr>
        <w:noProof/>
      </w:rPr>
    </w:sdtEndPr>
    <w:sdtContent>
      <w:p w:rsidR="00A1356D" w:rsidRDefault="00A135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1356D" w:rsidRDefault="00A13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FA"/>
    <w:rsid w:val="00757D5D"/>
    <w:rsid w:val="00A1356D"/>
    <w:rsid w:val="00B20F83"/>
    <w:rsid w:val="00D13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6D"/>
  </w:style>
  <w:style w:type="paragraph" w:styleId="Footer">
    <w:name w:val="footer"/>
    <w:basedOn w:val="Normal"/>
    <w:link w:val="FooterChar"/>
    <w:uiPriority w:val="99"/>
    <w:unhideWhenUsed/>
    <w:rsid w:val="00A1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6D"/>
  </w:style>
  <w:style w:type="paragraph" w:styleId="Footer">
    <w:name w:val="footer"/>
    <w:basedOn w:val="Normal"/>
    <w:link w:val="FooterChar"/>
    <w:uiPriority w:val="99"/>
    <w:unhideWhenUsed/>
    <w:rsid w:val="00A1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Company>KBNN</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My</dc:creator>
  <cp:lastModifiedBy>Oanh Nguyen Thi My</cp:lastModifiedBy>
  <cp:revision>2</cp:revision>
  <dcterms:created xsi:type="dcterms:W3CDTF">2020-03-20T08:23:00Z</dcterms:created>
  <dcterms:modified xsi:type="dcterms:W3CDTF">2020-03-20T08:27:00Z</dcterms:modified>
</cp:coreProperties>
</file>